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黑体" w:hAnsi="黑体" w:eastAsia="黑体" w:cs="楷体"/>
          <w:sz w:val="30"/>
          <w:szCs w:val="30"/>
        </w:rPr>
      </w:pPr>
      <w:r>
        <w:rPr>
          <w:rFonts w:hint="eastAsia" w:ascii="黑体" w:hAnsi="黑体" w:eastAsia="黑体" w:cs="楷体"/>
          <w:sz w:val="30"/>
          <w:szCs w:val="30"/>
        </w:rPr>
        <w:t>附件</w:t>
      </w:r>
    </w:p>
    <w:p>
      <w:pPr>
        <w:spacing w:line="500" w:lineRule="exact"/>
        <w:rPr>
          <w:rFonts w:hint="eastAsia" w:ascii="楷体" w:hAnsi="楷体" w:eastAsia="楷体" w:cs="楷体"/>
          <w:sz w:val="30"/>
          <w:szCs w:val="30"/>
        </w:rPr>
      </w:pP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项目标的及主要技术服务要求</w:t>
      </w:r>
    </w:p>
    <w:p>
      <w:pPr>
        <w:spacing w:line="500" w:lineRule="exact"/>
        <w:jc w:val="center"/>
        <w:rPr>
          <w:rFonts w:hint="eastAsia" w:ascii="黑体" w:hAnsi="黑体" w:eastAsia="黑体" w:cs="楷体"/>
          <w:sz w:val="36"/>
          <w:szCs w:val="36"/>
        </w:rPr>
      </w:pPr>
    </w:p>
    <w:tbl>
      <w:tblPr>
        <w:tblStyle w:val="4"/>
        <w:tblW w:w="92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29"/>
        <w:gridCol w:w="709"/>
        <w:gridCol w:w="709"/>
        <w:gridCol w:w="66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2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名称</w:t>
            </w:r>
          </w:p>
        </w:tc>
        <w:tc>
          <w:tcPr>
            <w:tcW w:w="70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单位</w:t>
            </w:r>
          </w:p>
        </w:tc>
        <w:tc>
          <w:tcPr>
            <w:tcW w:w="70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数量</w:t>
            </w:r>
          </w:p>
        </w:tc>
        <w:tc>
          <w:tcPr>
            <w:tcW w:w="667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技术服务参数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2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2026年国家网络安全宣传周“法治日”福建省主会场活动服务</w:t>
            </w:r>
          </w:p>
        </w:tc>
        <w:tc>
          <w:tcPr>
            <w:tcW w:w="7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项</w:t>
            </w:r>
          </w:p>
        </w:tc>
        <w:tc>
          <w:tcPr>
            <w:tcW w:w="7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1</w:t>
            </w:r>
          </w:p>
        </w:tc>
        <w:tc>
          <w:tcPr>
            <w:tcW w:w="667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jc w:val="left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一、整体活动策划与全流程执行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围绕既定主题及两大主线（“网安惠民”“网安助企”）编制完整一体化执行方案，包含文艺汇演、主题展览、互动体验、启动仪式、工业参观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、企业安检等全环节，明确时间节点、人员分工、物料清单；负责对接省、市各相关单位及演出、施工、媒体等全部合作主体；完成场地进场、消防、用电、大型活动安保、城管占道等全部报批手续。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项目负责人（1名）：具备大型政府活动策划执行经验，职责为总控方案定稿，对外代表项目组，对内拥有人员调配及绩效考评权。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项目技术负责人（1名）：具备舞台演艺或大型会展技术统筹经验，职责为负责舞台搭建、音视频系统调试、节目录制技术把关、宣传物料输出质量审核，协同项目负责人编制技术类应急预案。</w:t>
            </w:r>
          </w:p>
          <w:p>
            <w:pPr>
              <w:jc w:val="left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二、“网安惠民”场地规划搭建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三元区下洋会展中心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捷龙）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广场划分舞台表演区、主题展览展区、互动体验板块、观众区、后勤保障区；完成户外专业舞台、灯光、音响、大屏等设备搭建调试，其中舞台设备技术标准为：十二盏面光，舞台板承重加强；活动结束完成拆除清运及场地复原。</w:t>
            </w:r>
          </w:p>
          <w:p>
            <w:pPr>
              <w:jc w:val="left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三、文艺汇演统筹执行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完成10-12个主题节目遴选、编排、彩排、服装采购，含机器人表演、主题歌曲录制、MV制作及拍摄、互动游戏等；配齐主持人、舞台监督、音视频操作人员，完成至少1次全流程彩排。</w:t>
            </w:r>
          </w:p>
          <w:p>
            <w:pPr>
              <w:jc w:val="left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四、主题展览与互动体验运营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完成法治长廊展区展板设计制作布展及讲解人员配置，展板设计不少于6块；落实互动板块，配备道具、礼品、现场引导人员。</w:t>
            </w:r>
          </w:p>
          <w:p>
            <w:pPr>
              <w:jc w:val="left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五、“网安助企”会务承办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完成三钢闽光大数据中心启动仪式会场包装、物料制作、签到接待、摄影摄像等会务保障；落实启动仪式全部既定流程。</w:t>
            </w:r>
          </w:p>
          <w:p>
            <w:pPr>
              <w:jc w:val="left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六、全媒体宣传推广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预热期、活动期/复盘期开展地市级（视频号、微信公众号、LED大屏）线上线下宣传。预热期产出不少于1条不低于30秒的预热短视频、1条预告推文、3张倒计时海报；活动期间产出电视新闻（成片时长不少于1分钟，含采访同期声及字幕，符合地市级电视台播出技术规范）、图文报道；活动期/复盘期产出不少于2条不低于30秒的活动回顾短视频，产出2条回顾推文发布在三明融媒等地市级平台；“千屏共闪”LED大屏海报设计3套（分别适配户外大屏16:9及室内竖屏9:16比例），提供源文件；印制海报2套、不少于10张。所有宣传内容需达到地市级及以上官方媒体刊播要求，需提供主流媒体提供的播发书面承诺书。</w:t>
            </w:r>
          </w:p>
          <w:p>
            <w:pPr>
              <w:jc w:val="left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七、现场综合管理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活动全周期配置6名专职工作人员，分工如下：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1. 综合协调专员（1名）：对接演出、施工、媒体方等。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2. 舞台与演艺统筹（1名）：负责节目遴选、排练、服装道具；对接主持人及音视频操作人员；现场催场与后台管理。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3. 展览与体验运营（1名）：负责法治长廊展板落地、互动礼品采购与分发；管理讲解员及现场引导志愿者团队。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4. 宣传与物料专员（1名）：负责短视频拍摄剪辑、推文撰写、海报设计对接等。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5. 后勤与安保专员（1名）：统筹仓储、运输等；落实人流疏导及极端天气应急等。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6. 机动应急专员（1名）：活动期间全场巡检，应急机动。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编制人流、设备故障、极端天气等各类专项应急预案及应急物资；统筹物料仓储、保洁、物资运输、展品看管等全部后勤保障。</w:t>
            </w:r>
          </w:p>
          <w:p>
            <w:pPr>
              <w:jc w:val="left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八、知识产权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本项目全部视觉、视频、文稿、方案等成果知识产权全部归采购人所有。</w:t>
            </w:r>
          </w:p>
        </w:tc>
      </w:tr>
    </w:tbl>
    <w:p>
      <w:pPr>
        <w:spacing w:line="500" w:lineRule="exact"/>
        <w:ind w:firstLine="600" w:firstLineChars="200"/>
        <w:rPr>
          <w:rFonts w:ascii="楷体" w:hAnsi="楷体" w:eastAsia="楷体" w:cs="楷体"/>
          <w:sz w:val="30"/>
          <w:szCs w:val="30"/>
        </w:rPr>
      </w:pPr>
    </w:p>
    <w:p>
      <w:pPr>
        <w:jc w:val="left"/>
        <w:rPr>
          <w:rFonts w:ascii="仿宋_GB2312" w:hAnsi="仿宋_GB2312" w:eastAsia="仿宋_GB2312" w:cs="仿宋_GB2312"/>
          <w:sz w:val="30"/>
          <w:szCs w:val="30"/>
        </w:rPr>
      </w:pPr>
    </w:p>
    <w:p>
      <w:pPr>
        <w:rPr>
          <w:rFonts w:hint="eastAsia" w:ascii="仿宋_GB2312" w:hAnsi="仿宋_GB2312" w:eastAsia="仿宋_GB2312" w:cs="仿宋_GB2312"/>
          <w:sz w:val="30"/>
          <w:szCs w:val="30"/>
        </w:rPr>
      </w:pPr>
    </w:p>
    <w:p/>
    <w:sectPr>
      <w:footerReference r:id="rId3" w:type="default"/>
      <w:pgSz w:w="11905" w:h="16840"/>
      <w:pgMar w:top="2041" w:right="1531" w:bottom="2041" w:left="1531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  <w:sz w:val="28"/>
        <w:szCs w:val="28"/>
      </w:rPr>
      <w:id w:val="-1274859988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2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>
    <w:pPr>
      <w:rPr>
        <w:rFonts w:ascii="宋体" w:hAnsi="宋体" w:eastAsia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55E"/>
    <w:rsid w:val="0002255E"/>
    <w:rsid w:val="002D2BAE"/>
    <w:rsid w:val="004960A4"/>
    <w:rsid w:val="2B5B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0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kern w:val="0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3</Pages>
  <Words>211</Words>
  <Characters>1208</Characters>
  <Lines>10</Lines>
  <Paragraphs>2</Paragraphs>
  <TotalTime>2</TotalTime>
  <ScaleCrop>false</ScaleCrop>
  <LinksUpToDate>false</LinksUpToDate>
  <CharactersWithSpaces>1417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2026-09-07T07:34:00Z</dcterms:created>
  <dc:creator>Administrator</dc:creator>
  <cp:lastModifiedBy>HiWin10</cp:lastModifiedBy>
  <dcterms:modified xsi:type="dcterms:W3CDTF">2026-09-07T08:03:47Z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