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sz w:val="32"/>
          <w:szCs w:val="32"/>
          <w:lang w:eastAsia="zh-CN"/>
        </w:rPr>
      </w:pPr>
      <w:r>
        <w:rPr>
          <w:rFonts w:hint="eastAsia" w:ascii="黑体" w:hAnsi="黑体" w:eastAsia="黑体" w:cs="黑体"/>
          <w:sz w:val="32"/>
          <w:szCs w:val="32"/>
          <w:lang w:eastAsia="zh-CN"/>
        </w:rPr>
        <w:t>附件</w:t>
      </w:r>
    </w:p>
    <w:p>
      <w:pPr>
        <w:jc w:val="center"/>
        <w:rPr>
          <w:sz w:val="36"/>
          <w:szCs w:val="36"/>
        </w:rPr>
      </w:pPr>
      <w:r>
        <w:rPr>
          <w:rFonts w:hint="eastAsia"/>
          <w:sz w:val="36"/>
          <w:szCs w:val="36"/>
          <w:lang w:val="en-US" w:eastAsia="zh-CN"/>
        </w:rPr>
        <w:t>采购设备名称、参数及数量</w:t>
      </w:r>
    </w:p>
    <w:tbl>
      <w:tblPr>
        <w:tblStyle w:val="4"/>
        <w:tblW w:w="145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1910"/>
        <w:gridCol w:w="10650"/>
        <w:gridCol w:w="1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3"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eastAsiaTheme="minorEastAsia"/>
                <w:sz w:val="28"/>
                <w:szCs w:val="28"/>
                <w:vertAlign w:val="baseline"/>
                <w:lang w:eastAsia="zh-CN"/>
              </w:rPr>
            </w:pPr>
            <w:r>
              <w:rPr>
                <w:rFonts w:hint="eastAsia"/>
                <w:sz w:val="28"/>
                <w:szCs w:val="28"/>
                <w:vertAlign w:val="baseline"/>
                <w:lang w:eastAsia="zh-CN"/>
              </w:rPr>
              <w:t>序号</w:t>
            </w:r>
          </w:p>
        </w:tc>
        <w:tc>
          <w:tcPr>
            <w:tcW w:w="191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eastAsiaTheme="minorEastAsia"/>
                <w:sz w:val="28"/>
                <w:szCs w:val="28"/>
                <w:vertAlign w:val="baseline"/>
                <w:lang w:eastAsia="zh-CN"/>
              </w:rPr>
            </w:pPr>
            <w:r>
              <w:rPr>
                <w:rFonts w:hint="eastAsia"/>
                <w:sz w:val="28"/>
                <w:szCs w:val="28"/>
                <w:vertAlign w:val="baseline"/>
                <w:lang w:eastAsia="zh-CN"/>
              </w:rPr>
              <w:t>设备名称</w:t>
            </w:r>
          </w:p>
        </w:tc>
        <w:tc>
          <w:tcPr>
            <w:tcW w:w="1065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eastAsiaTheme="minorEastAsia"/>
                <w:sz w:val="28"/>
                <w:szCs w:val="28"/>
                <w:vertAlign w:val="baseline"/>
                <w:lang w:eastAsia="zh-CN"/>
              </w:rPr>
            </w:pPr>
            <w:r>
              <w:rPr>
                <w:rFonts w:hint="eastAsia"/>
                <w:sz w:val="28"/>
                <w:szCs w:val="28"/>
                <w:vertAlign w:val="baseline"/>
                <w:lang w:eastAsia="zh-CN"/>
              </w:rPr>
              <w:t>设备参数</w:t>
            </w:r>
          </w:p>
        </w:tc>
        <w:tc>
          <w:tcPr>
            <w:tcW w:w="1515"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sz w:val="28"/>
                <w:szCs w:val="28"/>
                <w:vertAlign w:val="baseline"/>
                <w:lang w:eastAsia="zh-CN"/>
              </w:rPr>
            </w:pPr>
            <w:r>
              <w:rPr>
                <w:rFonts w:hint="eastAsia"/>
                <w:sz w:val="28"/>
                <w:szCs w:val="28"/>
                <w:vertAlign w:val="baseline"/>
                <w:lang w:eastAsia="zh-CN"/>
              </w:rPr>
              <w:t>设备</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eastAsiaTheme="minorEastAsia"/>
                <w:sz w:val="28"/>
                <w:szCs w:val="28"/>
                <w:vertAlign w:val="baseline"/>
                <w:lang w:eastAsia="zh-CN"/>
              </w:rPr>
            </w:pPr>
            <w:r>
              <w:rPr>
                <w:rFonts w:hint="eastAsia"/>
                <w:sz w:val="28"/>
                <w:szCs w:val="28"/>
                <w:vertAlign w:val="baseli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3"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sz w:val="28"/>
                <w:szCs w:val="28"/>
                <w:vertAlign w:val="baseline"/>
              </w:rPr>
            </w:pPr>
            <w:r>
              <w:rPr>
                <w:sz w:val="28"/>
                <w:szCs w:val="28"/>
                <w:vertAlign w:val="baseline"/>
              </w:rPr>
              <w:t>1</w:t>
            </w:r>
          </w:p>
        </w:tc>
        <w:tc>
          <w:tcPr>
            <w:tcW w:w="191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双镜头云台抓拍机</w:t>
            </w:r>
          </w:p>
        </w:tc>
        <w:tc>
          <w:tcPr>
            <w:tcW w:w="1065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1. 具有≥2个镜头和≥2颗COMS图像传感器，内置GPU芯片；</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2. 双镜头分辨率均≥800万像素，靶面尺寸≥1/1.8"，镜头光圈≥F/1.2；镜头焦距≥8-32mm，支持电动变焦；</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3. 双镜头均支持人脸、人体、车辆全结构化抓拍；</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4. 双镜头均支持远程独立调节，远程水平调节角度≥0°～180°，远程垂直调节角度≥-5°～30°；</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5. 在分辨率≥1920x1080 @ 25fps，码流设置≥1Mbps时，视频图像传输延时≤60ms；</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6. 内置补光灯，补光灯开启后，灯光均匀无波纹、圆环状、麻点状、条纹状和不规则亮斑；</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7. 内置能耗检测模块，可实时检测设备的输入电压和功耗信息，可生成日报表、周报表，并以图表形式展现；</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8. 防护等级≥IP66，支持GB35114安全加密。</w:t>
            </w:r>
          </w:p>
        </w:tc>
        <w:tc>
          <w:tcPr>
            <w:tcW w:w="1515"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3"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sz w:val="28"/>
                <w:szCs w:val="28"/>
                <w:vertAlign w:val="baseline"/>
              </w:rPr>
            </w:pPr>
            <w:r>
              <w:rPr>
                <w:sz w:val="28"/>
                <w:szCs w:val="28"/>
                <w:vertAlign w:val="baseline"/>
              </w:rPr>
              <w:t>2</w:t>
            </w:r>
          </w:p>
        </w:tc>
        <w:tc>
          <w:tcPr>
            <w:tcW w:w="191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5G单北斗便携式人脸抓拍布控球</w:t>
            </w:r>
          </w:p>
        </w:tc>
        <w:tc>
          <w:tcPr>
            <w:tcW w:w="1065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1.特写摄像头抓拍图片分辨率为2560*1440，全景摄像头抓拍图片分辨率为3840*2160</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2.具有≧1个全景摄像头和≧1个特写摄像头，支持两个摄像头同时预览。</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3.特写摄像头水平旋转范围：360度连续旋转，垂直旋转范围： -20度 ~ 90度</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4.水平手控速度: ≥100°/s；垂直手控速度: ≥100°/s。</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5.机身自带≧2.4英寸LCD触摸屏，支持视频预览、功能设置、系统参数设置，支持控制云台进行转动、变焦命令，支持智能功能选择（需提供在招标公告日期之前由公安部授权机构出具的检测报告复印件，原件备查）</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6.具有三个SIM卡卡槽，支持移动、联通、电信5G SIM卡，兼容移动、联通、电信4G SIM卡</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7.内置双拾音器，在目标声源平均声级（距声源1m处）为65dB(A)、背景噪声不大于40dB(A)的环境中，拾音器距声源10米处监听到的声音应清晰（需提供在招标公告日期之前由公安部授权机构出具的检测报告复印件，原件备查）</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8.显示屏可显示设备显示状态：存储时间、蓝牙连接状态、WIFI连接状态、3G/4G连接状态、平台连接状态、录像状态、定位状态、电量显示，屏幕可开启和关闭</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9.支持接入2.4G/5G WiFi网络，支持设置802.11a/b/g/n/ac协议；支持将自身设置为WiFi热点，支持通过手机或PAD直连访问操作</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10.使用内置锂电池供电时，设备可在默认模式下工作至少10小时</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11.具备GPS/北斗/混合定位功能，并能在监控画面叠加设备所在的经纬度信息，在定位模块启动后8秒内可显示定位信息，水平定位误差小于12米</w:t>
            </w:r>
          </w:p>
        </w:tc>
        <w:tc>
          <w:tcPr>
            <w:tcW w:w="1515"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3"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sz w:val="28"/>
                <w:szCs w:val="28"/>
                <w:vertAlign w:val="baseline"/>
              </w:rPr>
            </w:pPr>
            <w:r>
              <w:rPr>
                <w:sz w:val="28"/>
                <w:szCs w:val="28"/>
                <w:vertAlign w:val="baseline"/>
              </w:rPr>
              <w:t>3</w:t>
            </w:r>
          </w:p>
        </w:tc>
        <w:tc>
          <w:tcPr>
            <w:tcW w:w="191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智能机柜</w:t>
            </w:r>
          </w:p>
        </w:tc>
        <w:tc>
          <w:tcPr>
            <w:tcW w:w="1065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1.箱体内部包含：空开、物联终端、智能机箱单北斗定位模块，重合闸漏电告警模块、电源防雷≥20KA、五孔插座≥4路、AC220V接线端子或DC12V接线端子≥4路、风扇≥1个、开箱照明灯；</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2.箱体尺寸≥400mm（宽）×500mm（高）×220mm（深），箱体材料为镀锌板，厚度≥1.2mm，托板≥1块；</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3.温度范围-55℃～+85℃，电压范围AC60V～AC280V（50Hz±5Hz/60Hz±5Hz），外壳防护等级≥IP54；</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4、五孔插座面板每路220V接口具有独立状态指示灯，指示接口是否供电，支持独立每路远程控制。具有检测缺地、零线火线接反检测。内置显示屏上具有过流、过压、欠压、漏电、在线、防雷、缺地、零火接反状态指示；具有切换触摸按键，可触摸切换显示内容，支持语音播报提示交互过程。内置光照度检测模块，支持通过光感检测箱门是否打开或关闭，支持光照度阈值自学习；内置陀螺仪模块，实时显示当前设备姿态信息。</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5.支持远程控制，可远程控制每路电源输出开关，实现远程断电、硬重启前端设备的功能，具备以下检测功能：过压、欠压、漏电、短路、过流保护、防雷失效、温度、风扇、箱门、摄像机状态、市电输入电压、总电流、每路电源输出电压和电流、负载工作状态，支持市电状态采集，断电告警，实时发送每路电压电流值到客户端显示，支持通过客户端实时监测设备输出是否断电。</w:t>
            </w:r>
            <w:r>
              <w:rPr>
                <w:rFonts w:hint="eastAsia" w:ascii="宋体" w:hAnsi="宋体" w:eastAsia="宋体" w:cs="宋体"/>
                <w:i w:val="0"/>
                <w:iCs w:val="0"/>
                <w:snapToGrid w:val="0"/>
                <w:color w:val="000000"/>
                <w:kern w:val="0"/>
                <w:sz w:val="28"/>
                <w:szCs w:val="28"/>
                <w:u w:val="none"/>
                <w:lang w:val="en-US" w:eastAsia="zh-CN"/>
              </w:rPr>
              <w:br w:type="textWrapping"/>
            </w:r>
            <w:r>
              <w:rPr>
                <w:rFonts w:hint="eastAsia" w:ascii="宋体" w:hAnsi="宋体" w:eastAsia="宋体" w:cs="宋体"/>
                <w:i w:val="0"/>
                <w:iCs w:val="0"/>
                <w:snapToGrid w:val="0"/>
                <w:color w:val="000000"/>
                <w:kern w:val="0"/>
                <w:sz w:val="28"/>
                <w:szCs w:val="28"/>
                <w:u w:val="none"/>
                <w:lang w:val="en-US" w:eastAsia="zh-CN"/>
              </w:rPr>
              <w:t>6.需与三明市公安局平安家园智能天网综合管理系统对接，定制开发在系统上显示物联相关信息。（一切接入定制开发费用由成交供应商承担）</w:t>
            </w:r>
          </w:p>
        </w:tc>
        <w:tc>
          <w:tcPr>
            <w:tcW w:w="1515"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3"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sz w:val="28"/>
                <w:szCs w:val="28"/>
                <w:vertAlign w:val="baseline"/>
              </w:rPr>
            </w:pPr>
            <w:r>
              <w:rPr>
                <w:rFonts w:hint="default"/>
                <w:sz w:val="28"/>
                <w:szCs w:val="28"/>
                <w:vertAlign w:val="baseline"/>
              </w:rPr>
              <w:t>4</w:t>
            </w:r>
          </w:p>
        </w:tc>
        <w:tc>
          <w:tcPr>
            <w:tcW w:w="191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横臂</w:t>
            </w:r>
          </w:p>
        </w:tc>
        <w:tc>
          <w:tcPr>
            <w:tcW w:w="1065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0.5米-</w:t>
            </w:r>
            <w:r>
              <w:rPr>
                <w:rFonts w:hint="default" w:ascii="宋体" w:hAnsi="宋体" w:eastAsia="宋体" w:cs="宋体"/>
                <w:i w:val="0"/>
                <w:iCs w:val="0"/>
                <w:snapToGrid w:val="0"/>
                <w:color w:val="000000"/>
                <w:kern w:val="0"/>
                <w:sz w:val="28"/>
                <w:szCs w:val="28"/>
                <w:u w:val="none"/>
                <w:lang w:val="en-US" w:eastAsia="zh-CN"/>
              </w:rPr>
              <w:t>1</w:t>
            </w:r>
            <w:r>
              <w:rPr>
                <w:rFonts w:hint="eastAsia" w:ascii="宋体" w:hAnsi="宋体" w:eastAsia="宋体" w:cs="宋体"/>
                <w:i w:val="0"/>
                <w:iCs w:val="0"/>
                <w:snapToGrid w:val="0"/>
                <w:color w:val="000000"/>
                <w:kern w:val="0"/>
                <w:sz w:val="28"/>
                <w:szCs w:val="28"/>
                <w:u w:val="none"/>
                <w:lang w:val="en-US" w:eastAsia="zh-CN"/>
              </w:rPr>
              <w:t>米横臂，根据现场定制。</w:t>
            </w:r>
          </w:p>
        </w:tc>
        <w:tc>
          <w:tcPr>
            <w:tcW w:w="1515"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3"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sz w:val="28"/>
                <w:szCs w:val="28"/>
                <w:vertAlign w:val="baseline"/>
              </w:rPr>
            </w:pPr>
            <w:r>
              <w:rPr>
                <w:sz w:val="28"/>
                <w:szCs w:val="28"/>
                <w:vertAlign w:val="baseline"/>
              </w:rPr>
              <w:t>5</w:t>
            </w:r>
          </w:p>
        </w:tc>
        <w:tc>
          <w:tcPr>
            <w:tcW w:w="191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线缆、辅材及施工</w:t>
            </w:r>
          </w:p>
        </w:tc>
        <w:tc>
          <w:tcPr>
            <w:tcW w:w="1065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线缆、辅材及施工</w:t>
            </w:r>
          </w:p>
        </w:tc>
        <w:tc>
          <w:tcPr>
            <w:tcW w:w="1515"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3"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sz w:val="28"/>
                <w:szCs w:val="28"/>
                <w:vertAlign w:val="baseline"/>
              </w:rPr>
            </w:pPr>
            <w:r>
              <w:rPr>
                <w:sz w:val="28"/>
                <w:szCs w:val="28"/>
                <w:vertAlign w:val="baseline"/>
              </w:rPr>
              <w:t>6</w:t>
            </w:r>
          </w:p>
        </w:tc>
        <w:tc>
          <w:tcPr>
            <w:tcW w:w="191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视频专网链路</w:t>
            </w:r>
          </w:p>
        </w:tc>
        <w:tc>
          <w:tcPr>
            <w:tcW w:w="1065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保证视频不卡顿，视频顺畅，保障5年。</w:t>
            </w:r>
          </w:p>
        </w:tc>
        <w:tc>
          <w:tcPr>
            <w:tcW w:w="1515"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513"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sz w:val="28"/>
                <w:szCs w:val="28"/>
                <w:vertAlign w:val="baseline"/>
              </w:rPr>
            </w:pPr>
            <w:r>
              <w:rPr>
                <w:rFonts w:hint="default"/>
                <w:sz w:val="28"/>
                <w:szCs w:val="28"/>
                <w:vertAlign w:val="baseline"/>
                <w:lang w:eastAsia="zh-CN"/>
              </w:rPr>
              <w:t>7</w:t>
            </w:r>
          </w:p>
        </w:tc>
        <w:tc>
          <w:tcPr>
            <w:tcW w:w="191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5G VPN流量卡</w:t>
            </w:r>
          </w:p>
        </w:tc>
        <w:tc>
          <w:tcPr>
            <w:tcW w:w="1065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不限量  保障5年</w:t>
            </w:r>
          </w:p>
        </w:tc>
        <w:tc>
          <w:tcPr>
            <w:tcW w:w="1515"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423" w:type="dxa"/>
            <w:gridSpan w:val="2"/>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9"/>
              <w:rPr>
                <w:rFonts w:hint="eastAsia" w:ascii="宋体" w:hAnsi="宋体" w:eastAsia="宋体" w:cs="宋体"/>
                <w:i w:val="0"/>
                <w:iCs w:val="0"/>
                <w:snapToGrid w:val="0"/>
                <w:color w:val="000000"/>
                <w:kern w:val="0"/>
                <w:sz w:val="28"/>
                <w:szCs w:val="28"/>
                <w:u w:val="none"/>
                <w:lang w:val="en-US" w:eastAsia="zh-CN"/>
              </w:rPr>
            </w:pPr>
            <w:r>
              <w:rPr>
                <w:rFonts w:hint="eastAsia" w:ascii="宋体" w:hAnsi="宋体" w:eastAsia="宋体" w:cs="宋体"/>
                <w:i w:val="0"/>
                <w:iCs w:val="0"/>
                <w:snapToGrid w:val="0"/>
                <w:color w:val="000000"/>
                <w:kern w:val="0"/>
                <w:sz w:val="28"/>
                <w:szCs w:val="28"/>
                <w:u w:val="none"/>
                <w:lang w:val="en-US" w:eastAsia="zh-CN"/>
              </w:rPr>
              <w:t>总价</w:t>
            </w:r>
          </w:p>
        </w:tc>
        <w:tc>
          <w:tcPr>
            <w:tcW w:w="10650"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p>
        </w:tc>
        <w:tc>
          <w:tcPr>
            <w:tcW w:w="1515" w:type="dxa"/>
          </w:tcPr>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宋体" w:hAnsi="宋体" w:eastAsia="宋体" w:cs="宋体"/>
                <w:i w:val="0"/>
                <w:iCs w:val="0"/>
                <w:snapToGrid w:val="0"/>
                <w:color w:val="000000"/>
                <w:kern w:val="0"/>
                <w:sz w:val="28"/>
                <w:szCs w:val="28"/>
                <w:u w:val="none"/>
                <w:lang w:val="en-US" w:eastAsia="zh-CN"/>
              </w:rPr>
            </w:pPr>
          </w:p>
        </w:tc>
      </w:tr>
    </w:tbl>
    <w:p>
      <w:bookmarkStart w:id="0" w:name="_GoBack"/>
      <w:bookmarkEnd w:id="0"/>
    </w:p>
    <w:sectPr>
      <w:pgSz w:w="16838" w:h="11906" w:orient="landscape"/>
      <w:pgMar w:top="1134" w:right="1327" w:bottom="907" w:left="132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CD3D9D"/>
    <w:rsid w:val="004F5C2F"/>
    <w:rsid w:val="0059185E"/>
    <w:rsid w:val="00B35165"/>
    <w:rsid w:val="030A051F"/>
    <w:rsid w:val="037A78D1"/>
    <w:rsid w:val="03CC31ED"/>
    <w:rsid w:val="047E74A3"/>
    <w:rsid w:val="04D3437A"/>
    <w:rsid w:val="05775E05"/>
    <w:rsid w:val="061559C0"/>
    <w:rsid w:val="061726A7"/>
    <w:rsid w:val="065E1F98"/>
    <w:rsid w:val="067560D8"/>
    <w:rsid w:val="082B4882"/>
    <w:rsid w:val="08D62B12"/>
    <w:rsid w:val="098E0451"/>
    <w:rsid w:val="0A610614"/>
    <w:rsid w:val="0B6757EA"/>
    <w:rsid w:val="0BF00F61"/>
    <w:rsid w:val="0D197627"/>
    <w:rsid w:val="0D5323CD"/>
    <w:rsid w:val="0D5A0F5B"/>
    <w:rsid w:val="0D732F65"/>
    <w:rsid w:val="0D7604CF"/>
    <w:rsid w:val="0E245755"/>
    <w:rsid w:val="0EC06CFC"/>
    <w:rsid w:val="10204F27"/>
    <w:rsid w:val="10CC7859"/>
    <w:rsid w:val="113D0A35"/>
    <w:rsid w:val="115C796B"/>
    <w:rsid w:val="11C400CD"/>
    <w:rsid w:val="13F3727B"/>
    <w:rsid w:val="14C14460"/>
    <w:rsid w:val="152110D0"/>
    <w:rsid w:val="15F9290C"/>
    <w:rsid w:val="16471C02"/>
    <w:rsid w:val="167D749C"/>
    <w:rsid w:val="170252C6"/>
    <w:rsid w:val="1749106F"/>
    <w:rsid w:val="17856E27"/>
    <w:rsid w:val="179058FE"/>
    <w:rsid w:val="17A626D2"/>
    <w:rsid w:val="17F0734E"/>
    <w:rsid w:val="17F62966"/>
    <w:rsid w:val="183620DC"/>
    <w:rsid w:val="1874224F"/>
    <w:rsid w:val="188405EA"/>
    <w:rsid w:val="19464509"/>
    <w:rsid w:val="1ADF1B25"/>
    <w:rsid w:val="1BC8303F"/>
    <w:rsid w:val="1BD73040"/>
    <w:rsid w:val="1BE17216"/>
    <w:rsid w:val="1F211CDD"/>
    <w:rsid w:val="1FD40CE1"/>
    <w:rsid w:val="2019564D"/>
    <w:rsid w:val="206D3454"/>
    <w:rsid w:val="20AD6FEC"/>
    <w:rsid w:val="21ED7F3A"/>
    <w:rsid w:val="2216707C"/>
    <w:rsid w:val="222443DD"/>
    <w:rsid w:val="22521B3E"/>
    <w:rsid w:val="22855A2F"/>
    <w:rsid w:val="229E6DBD"/>
    <w:rsid w:val="22A53B1E"/>
    <w:rsid w:val="233844C4"/>
    <w:rsid w:val="23771159"/>
    <w:rsid w:val="25214DBE"/>
    <w:rsid w:val="253F2961"/>
    <w:rsid w:val="2617307A"/>
    <w:rsid w:val="264941BD"/>
    <w:rsid w:val="2689451E"/>
    <w:rsid w:val="26C20E19"/>
    <w:rsid w:val="26D10314"/>
    <w:rsid w:val="26EB49CC"/>
    <w:rsid w:val="278E6F83"/>
    <w:rsid w:val="290D3972"/>
    <w:rsid w:val="297642FF"/>
    <w:rsid w:val="29B46A51"/>
    <w:rsid w:val="2AE83CB4"/>
    <w:rsid w:val="2BB42897"/>
    <w:rsid w:val="2C2D4A96"/>
    <w:rsid w:val="2CE61E44"/>
    <w:rsid w:val="2D894492"/>
    <w:rsid w:val="2E096D7F"/>
    <w:rsid w:val="2F5B7389"/>
    <w:rsid w:val="2F6A6036"/>
    <w:rsid w:val="2FC04879"/>
    <w:rsid w:val="30187FB2"/>
    <w:rsid w:val="30FD23E2"/>
    <w:rsid w:val="310C5FDF"/>
    <w:rsid w:val="320A082C"/>
    <w:rsid w:val="32661958"/>
    <w:rsid w:val="32F21FB1"/>
    <w:rsid w:val="32FE7960"/>
    <w:rsid w:val="33883DD5"/>
    <w:rsid w:val="34015856"/>
    <w:rsid w:val="343D20CD"/>
    <w:rsid w:val="348E33FA"/>
    <w:rsid w:val="365A48A7"/>
    <w:rsid w:val="367B38A1"/>
    <w:rsid w:val="36B12815"/>
    <w:rsid w:val="36E044FC"/>
    <w:rsid w:val="37594BE7"/>
    <w:rsid w:val="380C1336"/>
    <w:rsid w:val="382F7465"/>
    <w:rsid w:val="383001F3"/>
    <w:rsid w:val="385F43A9"/>
    <w:rsid w:val="390B335D"/>
    <w:rsid w:val="3942208A"/>
    <w:rsid w:val="39B37E57"/>
    <w:rsid w:val="3AF906AA"/>
    <w:rsid w:val="3C010EED"/>
    <w:rsid w:val="3CDD2FF5"/>
    <w:rsid w:val="3D7E3328"/>
    <w:rsid w:val="3E5B1CE9"/>
    <w:rsid w:val="3E80117D"/>
    <w:rsid w:val="3F4D6804"/>
    <w:rsid w:val="3F723A3A"/>
    <w:rsid w:val="405C3748"/>
    <w:rsid w:val="40FA53AD"/>
    <w:rsid w:val="412127EF"/>
    <w:rsid w:val="41C80DF0"/>
    <w:rsid w:val="42067664"/>
    <w:rsid w:val="432E276C"/>
    <w:rsid w:val="433D022D"/>
    <w:rsid w:val="436D19E0"/>
    <w:rsid w:val="43C25299"/>
    <w:rsid w:val="44632428"/>
    <w:rsid w:val="4469200B"/>
    <w:rsid w:val="448F7005"/>
    <w:rsid w:val="44DA6A82"/>
    <w:rsid w:val="44E308CB"/>
    <w:rsid w:val="44E830C6"/>
    <w:rsid w:val="45075D03"/>
    <w:rsid w:val="45087686"/>
    <w:rsid w:val="468C4064"/>
    <w:rsid w:val="46970DEB"/>
    <w:rsid w:val="46B63CE9"/>
    <w:rsid w:val="47D27846"/>
    <w:rsid w:val="49021349"/>
    <w:rsid w:val="4952347B"/>
    <w:rsid w:val="49783322"/>
    <w:rsid w:val="49DB62C6"/>
    <w:rsid w:val="49E66A04"/>
    <w:rsid w:val="4B1B7C6A"/>
    <w:rsid w:val="4B42487A"/>
    <w:rsid w:val="4B7042C3"/>
    <w:rsid w:val="4C432114"/>
    <w:rsid w:val="4C714CC8"/>
    <w:rsid w:val="4C8458A6"/>
    <w:rsid w:val="4D2A2CFE"/>
    <w:rsid w:val="4D9425CA"/>
    <w:rsid w:val="4FCB4314"/>
    <w:rsid w:val="50962160"/>
    <w:rsid w:val="51916C1E"/>
    <w:rsid w:val="51A73E0F"/>
    <w:rsid w:val="52685821"/>
    <w:rsid w:val="53166BA5"/>
    <w:rsid w:val="535A4029"/>
    <w:rsid w:val="53C2496F"/>
    <w:rsid w:val="541F3500"/>
    <w:rsid w:val="548A2343"/>
    <w:rsid w:val="54BC7853"/>
    <w:rsid w:val="556F4CAE"/>
    <w:rsid w:val="563C2DB6"/>
    <w:rsid w:val="568E519B"/>
    <w:rsid w:val="56CD4F31"/>
    <w:rsid w:val="56F03466"/>
    <w:rsid w:val="570A1971"/>
    <w:rsid w:val="5724227D"/>
    <w:rsid w:val="57B0021D"/>
    <w:rsid w:val="58490965"/>
    <w:rsid w:val="590B4F7F"/>
    <w:rsid w:val="59C158CB"/>
    <w:rsid w:val="59D407A5"/>
    <w:rsid w:val="5A3244E6"/>
    <w:rsid w:val="5A99077B"/>
    <w:rsid w:val="5B074F9B"/>
    <w:rsid w:val="5B182EFF"/>
    <w:rsid w:val="5C62198C"/>
    <w:rsid w:val="5CE448C2"/>
    <w:rsid w:val="5D816D3D"/>
    <w:rsid w:val="5DEF45DC"/>
    <w:rsid w:val="5F031471"/>
    <w:rsid w:val="5F172A57"/>
    <w:rsid w:val="5F303CEA"/>
    <w:rsid w:val="5FEB78E7"/>
    <w:rsid w:val="60456F5D"/>
    <w:rsid w:val="60C35779"/>
    <w:rsid w:val="60E82719"/>
    <w:rsid w:val="613D4EF2"/>
    <w:rsid w:val="61F97B78"/>
    <w:rsid w:val="62CD0192"/>
    <w:rsid w:val="62D5294C"/>
    <w:rsid w:val="632C34DA"/>
    <w:rsid w:val="636319B7"/>
    <w:rsid w:val="63A57BDC"/>
    <w:rsid w:val="63B76D44"/>
    <w:rsid w:val="64631D79"/>
    <w:rsid w:val="64A9140A"/>
    <w:rsid w:val="64E94BEA"/>
    <w:rsid w:val="653E2F32"/>
    <w:rsid w:val="663A22F0"/>
    <w:rsid w:val="67474984"/>
    <w:rsid w:val="67711358"/>
    <w:rsid w:val="68AE605E"/>
    <w:rsid w:val="68F16903"/>
    <w:rsid w:val="68F57498"/>
    <w:rsid w:val="6A2C3976"/>
    <w:rsid w:val="6A2D6531"/>
    <w:rsid w:val="6A662AB6"/>
    <w:rsid w:val="6B1B54CC"/>
    <w:rsid w:val="6BB562B4"/>
    <w:rsid w:val="6C005D60"/>
    <w:rsid w:val="6DE10885"/>
    <w:rsid w:val="6E632A52"/>
    <w:rsid w:val="6E9970A0"/>
    <w:rsid w:val="6EB012CF"/>
    <w:rsid w:val="6FD348A9"/>
    <w:rsid w:val="70544A2E"/>
    <w:rsid w:val="70686586"/>
    <w:rsid w:val="707677D4"/>
    <w:rsid w:val="70B92745"/>
    <w:rsid w:val="71BB25F3"/>
    <w:rsid w:val="728961C2"/>
    <w:rsid w:val="72B91D18"/>
    <w:rsid w:val="73D30717"/>
    <w:rsid w:val="740458C6"/>
    <w:rsid w:val="74205B40"/>
    <w:rsid w:val="743660E9"/>
    <w:rsid w:val="74427B09"/>
    <w:rsid w:val="74514B4B"/>
    <w:rsid w:val="752B6875"/>
    <w:rsid w:val="75AC1A6E"/>
    <w:rsid w:val="75BE4EF6"/>
    <w:rsid w:val="76E6170A"/>
    <w:rsid w:val="78441F90"/>
    <w:rsid w:val="790E2391"/>
    <w:rsid w:val="7A0E1CF9"/>
    <w:rsid w:val="7A987C53"/>
    <w:rsid w:val="7AB30D4F"/>
    <w:rsid w:val="7AC23802"/>
    <w:rsid w:val="7C005502"/>
    <w:rsid w:val="7CE428F3"/>
    <w:rsid w:val="7CF71DD5"/>
    <w:rsid w:val="7CFC49F6"/>
    <w:rsid w:val="7D3B5941"/>
    <w:rsid w:val="7D4547A4"/>
    <w:rsid w:val="7E0156AF"/>
    <w:rsid w:val="7EDF28DE"/>
    <w:rsid w:val="7F9F7A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132</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2026-06-05T01:29:00Z</dcterms:created>
  <dc:creator>苏烈卿/三元分局指挥情报中心</dc:creator>
  <cp:lastModifiedBy>Administrator</cp:lastModifiedBy>
  <cp:lastPrinted>2026-06-05T04:36:00Z</cp:lastPrinted>
  <dcterms:modified xsi:type="dcterms:W3CDTF">2026-06-22T04:06:48Z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y fmtid="{D5CDD505-2E9C-101B-9397-08002B2CF9AE}" pid="3" name="ICV">
    <vt:lpwstr>503B52E242F94EFE99799C6E420A8B9F</vt:lpwstr>
  </property>
</Properties>
</file>